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F3DC" w14:textId="77777777" w:rsidR="0038444F" w:rsidRDefault="00E700E8">
      <w:pPr>
        <w:spacing w:after="0" w:line="259" w:lineRule="auto"/>
        <w:ind w:left="1097" w:firstLine="0"/>
      </w:pPr>
      <w:r>
        <w:rPr>
          <w:sz w:val="14"/>
        </w:rPr>
        <w:t xml:space="preserve"> </w:t>
      </w:r>
    </w:p>
    <w:p w14:paraId="55F90D98" w14:textId="77777777" w:rsidR="0038444F" w:rsidRDefault="00E700E8">
      <w:pPr>
        <w:spacing w:after="0" w:line="259" w:lineRule="auto"/>
        <w:ind w:left="0" w:firstLine="0"/>
      </w:pPr>
      <w:r>
        <w:rPr>
          <w:sz w:val="14"/>
        </w:rPr>
        <w:t xml:space="preserve"> </w:t>
      </w:r>
    </w:p>
    <w:p w14:paraId="4E8B75C8" w14:textId="77777777" w:rsidR="0038444F" w:rsidRDefault="00E700E8">
      <w:pPr>
        <w:spacing w:after="78" w:line="259" w:lineRule="auto"/>
        <w:ind w:left="0" w:firstLine="0"/>
      </w:pPr>
      <w:r>
        <w:rPr>
          <w:sz w:val="14"/>
        </w:rPr>
        <w:t xml:space="preserve"> </w:t>
      </w:r>
    </w:p>
    <w:p w14:paraId="57325345" w14:textId="77777777" w:rsidR="0038444F" w:rsidRDefault="00E700E8">
      <w:pPr>
        <w:ind w:right="92"/>
      </w:pPr>
      <w:r>
        <w:t xml:space="preserve">The following are screening procedures and DSA response to potential illness for returning to play. Every player and coach/volunteer </w:t>
      </w:r>
      <w:proofErr w:type="gramStart"/>
      <w:r>
        <w:t>is</w:t>
      </w:r>
      <w:proofErr w:type="gramEnd"/>
      <w:r>
        <w:t xml:space="preserve"> required to be screened prior to organized activity, practice, or game.  </w:t>
      </w:r>
    </w:p>
    <w:p w14:paraId="40B16132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6FEAA0EA" w14:textId="77777777" w:rsidR="0038444F" w:rsidRDefault="00E700E8">
      <w:pPr>
        <w:numPr>
          <w:ilvl w:val="0"/>
          <w:numId w:val="1"/>
        </w:numPr>
        <w:ind w:right="92" w:hanging="360"/>
      </w:pPr>
      <w:r>
        <w:t xml:space="preserve">The screening </w:t>
      </w:r>
      <w:r w:rsidR="008E3EDC">
        <w:t xml:space="preserve">questionnaire or screening log </w:t>
      </w:r>
      <w:r>
        <w:t xml:space="preserve">should include the following questions:  </w:t>
      </w:r>
    </w:p>
    <w:p w14:paraId="172C247A" w14:textId="77777777" w:rsidR="0038444F" w:rsidRDefault="00E700E8">
      <w:pPr>
        <w:numPr>
          <w:ilvl w:val="1"/>
          <w:numId w:val="1"/>
        </w:numPr>
        <w:ind w:right="92" w:hanging="360"/>
      </w:pPr>
      <w:r>
        <w:t xml:space="preserve">Today or in the past 24 hours have you had any of the following symptoms:  </w:t>
      </w:r>
    </w:p>
    <w:p w14:paraId="13800C5A" w14:textId="77777777" w:rsidR="008E3EDC" w:rsidRDefault="00E700E8" w:rsidP="008E3EDC">
      <w:pPr>
        <w:pStyle w:val="ListParagraph"/>
        <w:numPr>
          <w:ilvl w:val="2"/>
          <w:numId w:val="1"/>
        </w:numPr>
        <w:ind w:right="507"/>
      </w:pPr>
      <w:r>
        <w:t xml:space="preserve">Fever (temperature greater than 100.4 for children and greater than 100 for adults) </w:t>
      </w:r>
    </w:p>
    <w:p w14:paraId="32669CBB" w14:textId="77777777" w:rsidR="008E3EDC" w:rsidRDefault="00E700E8" w:rsidP="008E3EDC">
      <w:pPr>
        <w:pStyle w:val="ListParagraph"/>
        <w:numPr>
          <w:ilvl w:val="2"/>
          <w:numId w:val="1"/>
        </w:numPr>
        <w:ind w:right="507"/>
      </w:pPr>
      <w:r>
        <w:t xml:space="preserve">New or worsening cough  </w:t>
      </w:r>
    </w:p>
    <w:p w14:paraId="25978914" w14:textId="77777777" w:rsidR="008E3EDC" w:rsidRDefault="00E700E8" w:rsidP="008E3EDC">
      <w:pPr>
        <w:pStyle w:val="ListParagraph"/>
        <w:numPr>
          <w:ilvl w:val="2"/>
          <w:numId w:val="1"/>
        </w:numPr>
        <w:ind w:right="507"/>
      </w:pPr>
      <w:r>
        <w:t xml:space="preserve">Shortness of breath or trouble breathing </w:t>
      </w:r>
    </w:p>
    <w:p w14:paraId="41728142" w14:textId="77777777" w:rsidR="0038444F" w:rsidRDefault="00E700E8" w:rsidP="008E3EDC">
      <w:pPr>
        <w:pStyle w:val="ListParagraph"/>
        <w:numPr>
          <w:ilvl w:val="2"/>
          <w:numId w:val="1"/>
        </w:numPr>
        <w:ind w:right="507"/>
      </w:pPr>
      <w:r>
        <w:t xml:space="preserve">Do you have a household or close contact who has been diagnosed with COVID-19 in the past 2 weeks?  </w:t>
      </w:r>
    </w:p>
    <w:p w14:paraId="60D59545" w14:textId="77777777" w:rsidR="0038444F" w:rsidRDefault="00E700E8">
      <w:pPr>
        <w:numPr>
          <w:ilvl w:val="1"/>
          <w:numId w:val="1"/>
        </w:numPr>
        <w:ind w:right="92" w:hanging="360"/>
      </w:pPr>
      <w:r>
        <w:t xml:space="preserve">If a player or volunteer does not complete the above health check, or becomes symptomatic during practice, the player or coach/volunteer will be quarantined until a parent or guardian can safely take them home.  </w:t>
      </w:r>
    </w:p>
    <w:p w14:paraId="7CCC5F2A" w14:textId="77777777" w:rsidR="0038444F" w:rsidRDefault="00E700E8">
      <w:pPr>
        <w:spacing w:after="0" w:line="259" w:lineRule="auto"/>
        <w:ind w:left="1853" w:firstLine="0"/>
      </w:pPr>
      <w:r>
        <w:t xml:space="preserve"> </w:t>
      </w:r>
    </w:p>
    <w:p w14:paraId="476BCC10" w14:textId="77777777" w:rsidR="0038444F" w:rsidRDefault="00E700E8">
      <w:pPr>
        <w:numPr>
          <w:ilvl w:val="0"/>
          <w:numId w:val="1"/>
        </w:numPr>
        <w:ind w:right="92" w:hanging="360"/>
      </w:pPr>
      <w:r>
        <w:t xml:space="preserve">If a player/coach/volunteer/official has positive finding on their COVID-19 screening they will be sent home immediately. The player will not be allowed back until they have documentation demonstrating the SARS-CoV-2 test was negative or a note from their healthcare provider indicating they do not need to be tested and their symptoms are not due to COVID-19.  </w:t>
      </w:r>
    </w:p>
    <w:p w14:paraId="0D805AC1" w14:textId="77777777" w:rsidR="0038444F" w:rsidRDefault="00E700E8">
      <w:pPr>
        <w:spacing w:after="0" w:line="259" w:lineRule="auto"/>
        <w:ind w:left="1133" w:firstLine="0"/>
      </w:pPr>
      <w:r>
        <w:t xml:space="preserve"> </w:t>
      </w:r>
    </w:p>
    <w:p w14:paraId="102668E5" w14:textId="77777777" w:rsidR="0038444F" w:rsidRDefault="00E700E8">
      <w:pPr>
        <w:numPr>
          <w:ilvl w:val="0"/>
          <w:numId w:val="1"/>
        </w:numPr>
        <w:ind w:right="92" w:hanging="360"/>
      </w:pPr>
      <w:r>
        <w:t xml:space="preserve">Positive COVID-19 Player or Coach/Volunteer  </w:t>
      </w:r>
    </w:p>
    <w:p w14:paraId="2C92D74F" w14:textId="77777777" w:rsidR="0038444F" w:rsidRDefault="00E700E8">
      <w:pPr>
        <w:numPr>
          <w:ilvl w:val="1"/>
          <w:numId w:val="1"/>
        </w:numPr>
        <w:ind w:right="92" w:hanging="360"/>
      </w:pPr>
      <w:r>
        <w:t xml:space="preserve">The parent/guardian/coach/volunteer will follow state, federal, and local guidelines reporting a positive COVID-19 diagnosis.    </w:t>
      </w:r>
    </w:p>
    <w:p w14:paraId="185ABB6E" w14:textId="77777777" w:rsidR="0038444F" w:rsidRDefault="00E700E8">
      <w:pPr>
        <w:numPr>
          <w:ilvl w:val="1"/>
          <w:numId w:val="1"/>
        </w:numPr>
        <w:ind w:right="92" w:hanging="360"/>
      </w:pPr>
      <w:r>
        <w:t xml:space="preserve">The coach/volunteer should email the team, commissioner, and DSA Board Officers that there is a positive COVID-19 diagnosis. THE NAME OF THE PERSON WILL NOT BE TRANSMITTED.   </w:t>
      </w:r>
    </w:p>
    <w:p w14:paraId="6BD53A9B" w14:textId="77777777" w:rsidR="0038444F" w:rsidRDefault="00E700E8">
      <w:pPr>
        <w:numPr>
          <w:ilvl w:val="1"/>
          <w:numId w:val="1"/>
        </w:numPr>
        <w:ind w:right="92" w:hanging="360"/>
      </w:pPr>
      <w:r>
        <w:t xml:space="preserve">Follow CDC guidelines for disinfecting equipment and/or facilities. </w:t>
      </w:r>
    </w:p>
    <w:p w14:paraId="6E364FBB" w14:textId="77777777" w:rsidR="0038444F" w:rsidRDefault="00E700E8">
      <w:pPr>
        <w:spacing w:after="0" w:line="259" w:lineRule="auto"/>
        <w:ind w:left="2573" w:firstLine="0"/>
      </w:pPr>
      <w:r>
        <w:t xml:space="preserve"> </w:t>
      </w:r>
    </w:p>
    <w:p w14:paraId="349DA9DA" w14:textId="77777777" w:rsidR="0038444F" w:rsidRDefault="00E700E8">
      <w:pPr>
        <w:numPr>
          <w:ilvl w:val="0"/>
          <w:numId w:val="1"/>
        </w:numPr>
        <w:ind w:right="92" w:hanging="360"/>
      </w:pPr>
      <w:r>
        <w:t xml:space="preserve">If a player or coach/volunteer not wearing a mask is confirmed to have COVID-19, the following should occur:  </w:t>
      </w:r>
    </w:p>
    <w:p w14:paraId="1F89DFD9" w14:textId="77777777" w:rsidR="0038444F" w:rsidRDefault="00E700E8">
      <w:pPr>
        <w:numPr>
          <w:ilvl w:val="1"/>
          <w:numId w:val="1"/>
        </w:numPr>
        <w:ind w:right="92" w:hanging="360"/>
      </w:pPr>
      <w:r>
        <w:t xml:space="preserve">All participants that have practiced or competed with this individual up to 48 hours prior to symptom onset should be excluded from practice for 14 days.  </w:t>
      </w:r>
    </w:p>
    <w:p w14:paraId="075D3E89" w14:textId="77777777" w:rsidR="0038444F" w:rsidRDefault="00E700E8">
      <w:pPr>
        <w:spacing w:after="0" w:line="259" w:lineRule="auto"/>
        <w:ind w:left="2573" w:firstLine="0"/>
      </w:pPr>
      <w:r>
        <w:t xml:space="preserve"> </w:t>
      </w:r>
    </w:p>
    <w:p w14:paraId="1F34B1D0" w14:textId="77777777" w:rsidR="0038444F" w:rsidRDefault="00E700E8">
      <w:pPr>
        <w:spacing w:after="0" w:line="259" w:lineRule="auto"/>
        <w:ind w:left="2573" w:firstLine="0"/>
      </w:pPr>
      <w:r>
        <w:t xml:space="preserve"> </w:t>
      </w:r>
    </w:p>
    <w:p w14:paraId="43963A33" w14:textId="77777777" w:rsidR="0038444F" w:rsidRDefault="00E700E8">
      <w:pPr>
        <w:spacing w:after="0" w:line="259" w:lineRule="auto"/>
        <w:ind w:left="2573" w:firstLine="0"/>
      </w:pPr>
      <w:r>
        <w:t xml:space="preserve"> </w:t>
      </w:r>
    </w:p>
    <w:p w14:paraId="754394DC" w14:textId="77777777" w:rsidR="0038444F" w:rsidRDefault="00E700E8">
      <w:pPr>
        <w:spacing w:after="0" w:line="259" w:lineRule="auto"/>
        <w:ind w:left="2573" w:firstLine="0"/>
      </w:pPr>
      <w:r>
        <w:t xml:space="preserve"> </w:t>
      </w:r>
    </w:p>
    <w:p w14:paraId="3CB2B010" w14:textId="77777777" w:rsidR="0038444F" w:rsidRDefault="00E700E8">
      <w:pPr>
        <w:spacing w:after="1" w:line="259" w:lineRule="auto"/>
        <w:ind w:left="2573" w:firstLine="0"/>
      </w:pPr>
      <w:r>
        <w:t xml:space="preserve"> </w:t>
      </w:r>
    </w:p>
    <w:p w14:paraId="2E191E45" w14:textId="77777777" w:rsidR="0038444F" w:rsidRDefault="00E700E8">
      <w:pPr>
        <w:numPr>
          <w:ilvl w:val="1"/>
          <w:numId w:val="1"/>
        </w:numPr>
        <w:ind w:right="92" w:hanging="360"/>
      </w:pPr>
      <w:r>
        <w:lastRenderedPageBreak/>
        <w:t xml:space="preserve">Recommend teams keep documentation of names and contact information of opposing teams/coaches/volunteers/officials for contact tracing purposes.  </w:t>
      </w:r>
    </w:p>
    <w:p w14:paraId="14AB0959" w14:textId="77777777" w:rsidR="0038444F" w:rsidRDefault="00E700E8">
      <w:pPr>
        <w:numPr>
          <w:ilvl w:val="1"/>
          <w:numId w:val="1"/>
        </w:numPr>
        <w:ind w:right="92" w:hanging="360"/>
      </w:pPr>
      <w:r>
        <w:t xml:space="preserve">Exception could be made if all activities were done practicing appropriate social distancing.  </w:t>
      </w:r>
    </w:p>
    <w:p w14:paraId="00924B5E" w14:textId="77777777" w:rsidR="0038444F" w:rsidRDefault="00E700E8">
      <w:pPr>
        <w:numPr>
          <w:ilvl w:val="1"/>
          <w:numId w:val="1"/>
        </w:numPr>
        <w:spacing w:after="166"/>
        <w:ind w:right="92" w:hanging="360"/>
      </w:pPr>
      <w:r>
        <w:t xml:space="preserve">If a coach/volunteer is positive and was wearing a mask/face covering potentially none of her/his contacts will have to be excluded. In some cases, a mask/face covering may not be considered protective depending on the type of exposure.  </w:t>
      </w:r>
    </w:p>
    <w:p w14:paraId="0761F2D3" w14:textId="77777777" w:rsidR="0038444F" w:rsidRDefault="00E700E8">
      <w:pPr>
        <w:numPr>
          <w:ilvl w:val="0"/>
          <w:numId w:val="1"/>
        </w:numPr>
        <w:ind w:right="92" w:hanging="360"/>
      </w:pPr>
      <w:r>
        <w:t xml:space="preserve">Returning to sports post COVID-19 diagnosis  </w:t>
      </w:r>
    </w:p>
    <w:p w14:paraId="53AD396E" w14:textId="77777777" w:rsidR="0038444F" w:rsidRDefault="00E700E8">
      <w:pPr>
        <w:numPr>
          <w:ilvl w:val="1"/>
          <w:numId w:val="1"/>
        </w:numPr>
        <w:ind w:right="92" w:hanging="360"/>
      </w:pPr>
      <w:r>
        <w:t>Players/coaches/volun</w:t>
      </w:r>
      <w:r w:rsidR="005847F6">
        <w:t>t</w:t>
      </w:r>
      <w:r>
        <w:t xml:space="preserve">eers must meet all the following criteria to return </w:t>
      </w:r>
      <w:r w:rsidR="005847F6">
        <w:t>to sports</w:t>
      </w:r>
      <w:r>
        <w:t xml:space="preserve">: </w:t>
      </w:r>
    </w:p>
    <w:p w14:paraId="37811FD1" w14:textId="77777777" w:rsidR="0038444F" w:rsidRDefault="00E700E8">
      <w:pPr>
        <w:numPr>
          <w:ilvl w:val="2"/>
          <w:numId w:val="1"/>
        </w:numPr>
        <w:ind w:right="92" w:hanging="374"/>
      </w:pPr>
      <w:r>
        <w:t xml:space="preserve">No fever (&gt;100.4) for 72 hours without fever reducing medications  </w:t>
      </w:r>
    </w:p>
    <w:p w14:paraId="6FAE77D4" w14:textId="77777777" w:rsidR="0038444F" w:rsidRDefault="00E700E8">
      <w:pPr>
        <w:numPr>
          <w:ilvl w:val="2"/>
          <w:numId w:val="1"/>
        </w:numPr>
        <w:ind w:right="92" w:hanging="374"/>
      </w:pPr>
      <w:r>
        <w:t xml:space="preserve">Improvement in respiratory symptoms (cough, shortness of breath,) </w:t>
      </w:r>
    </w:p>
    <w:p w14:paraId="1337F73B" w14:textId="77777777" w:rsidR="0038444F" w:rsidRDefault="00E700E8">
      <w:pPr>
        <w:numPr>
          <w:ilvl w:val="2"/>
          <w:numId w:val="1"/>
        </w:numPr>
        <w:ind w:right="92" w:hanging="374"/>
      </w:pPr>
      <w:r>
        <w:t>At least 14 days have passed since symptoms first appeared   iv.</w:t>
      </w:r>
      <w:r>
        <w:rPr>
          <w:rFonts w:ascii="Arial" w:eastAsia="Arial" w:hAnsi="Arial" w:cs="Arial"/>
        </w:rPr>
        <w:t xml:space="preserve"> </w:t>
      </w:r>
      <w:r>
        <w:t xml:space="preserve">Note for clearance from a medical provider (MD, DO, NP, PA) individuals without a medical provider can contact their local public health agency. </w:t>
      </w:r>
    </w:p>
    <w:p w14:paraId="6514459C" w14:textId="77777777" w:rsidR="0038444F" w:rsidRDefault="00E700E8">
      <w:pPr>
        <w:spacing w:after="0" w:line="259" w:lineRule="auto"/>
        <w:ind w:left="0" w:firstLine="0"/>
      </w:pPr>
      <w:r>
        <w:t xml:space="preserve">  </w:t>
      </w:r>
    </w:p>
    <w:p w14:paraId="55BF4DD5" w14:textId="77777777" w:rsidR="0038444F" w:rsidRDefault="00E700E8">
      <w:pPr>
        <w:ind w:right="92"/>
      </w:pPr>
      <w:r>
        <w:t xml:space="preserve">This document was created based on the following resources, guidelines, materials with input from various authorities and other sources. This document was created by DSA Board </w:t>
      </w:r>
      <w:r w:rsidR="008E3EDC">
        <w:t>of</w:t>
      </w:r>
      <w:r>
        <w:t xml:space="preserve"> Directors. Please note that any information contained herein is for informational purposes only and may not be construed as a directive, edict, or in place of medical or legal advice. This document may only be used in the spirit for which it was intended.   </w:t>
      </w:r>
    </w:p>
    <w:p w14:paraId="2719CE41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240A6058" w14:textId="77777777" w:rsidR="0038444F" w:rsidRDefault="00E700E8">
      <w:pPr>
        <w:ind w:right="92"/>
      </w:pPr>
      <w:r>
        <w:t xml:space="preserve">CDC Guidelines:  </w:t>
      </w:r>
    </w:p>
    <w:p w14:paraId="3D1EC372" w14:textId="77777777" w:rsidR="0038444F" w:rsidRDefault="00D07DC4">
      <w:pPr>
        <w:numPr>
          <w:ilvl w:val="0"/>
          <w:numId w:val="2"/>
        </w:numPr>
        <w:spacing w:after="10"/>
        <w:ind w:hanging="180"/>
      </w:pPr>
      <w:hyperlink r:id="rId7">
        <w:r w:rsidR="00E700E8">
          <w:rPr>
            <w:u w:val="single" w:color="000000"/>
          </w:rPr>
          <w:t>https://www.cdc.gov/coronavirus</w:t>
        </w:r>
      </w:hyperlink>
      <w:hyperlink r:id="rId8">
        <w:r w:rsidR="00E700E8">
          <w:rPr>
            <w:u w:val="single" w:color="000000"/>
          </w:rPr>
          <w:t>/2019</w:t>
        </w:r>
      </w:hyperlink>
      <w:hyperlink r:id="rId9">
        <w:r w:rsidR="00E700E8">
          <w:rPr>
            <w:u w:val="single" w:color="000000"/>
          </w:rPr>
          <w:t>-</w:t>
        </w:r>
      </w:hyperlink>
      <w:hyperlink r:id="rId10">
        <w:r w:rsidR="00E700E8">
          <w:rPr>
            <w:u w:val="single" w:color="000000"/>
          </w:rPr>
          <w:t>ncov/index.html</w:t>
        </w:r>
      </w:hyperlink>
      <w:hyperlink r:id="rId11">
        <w:r w:rsidR="00E700E8">
          <w:t xml:space="preserve"> </w:t>
        </w:r>
      </w:hyperlink>
    </w:p>
    <w:p w14:paraId="603CBE16" w14:textId="77777777" w:rsidR="0038444F" w:rsidRDefault="00E700E8">
      <w:pPr>
        <w:spacing w:after="0" w:line="259" w:lineRule="auto"/>
        <w:ind w:left="0" w:firstLine="0"/>
      </w:pPr>
      <w:r>
        <w:t xml:space="preserve">  </w:t>
      </w:r>
    </w:p>
    <w:p w14:paraId="15552B62" w14:textId="77777777" w:rsidR="0038444F" w:rsidRDefault="00E700E8">
      <w:pPr>
        <w:ind w:right="92"/>
      </w:pPr>
      <w:r>
        <w:t xml:space="preserve">Maryland State Guidelines:  </w:t>
      </w:r>
    </w:p>
    <w:p w14:paraId="7F6E1CD3" w14:textId="77777777" w:rsidR="0038444F" w:rsidRDefault="00D07DC4">
      <w:pPr>
        <w:numPr>
          <w:ilvl w:val="0"/>
          <w:numId w:val="2"/>
        </w:numPr>
        <w:spacing w:after="10"/>
        <w:ind w:hanging="180"/>
      </w:pPr>
      <w:hyperlink r:id="rId12">
        <w:r w:rsidR="00E700E8">
          <w:rPr>
            <w:u w:val="single" w:color="000000"/>
          </w:rPr>
          <w:t>https://governor.maryland.gov/recovery/</w:t>
        </w:r>
      </w:hyperlink>
      <w:hyperlink r:id="rId13">
        <w:r w:rsidR="00E700E8">
          <w:t xml:space="preserve"> </w:t>
        </w:r>
      </w:hyperlink>
    </w:p>
    <w:p w14:paraId="3E54BCC5" w14:textId="77777777" w:rsidR="0038444F" w:rsidRDefault="00D07DC4">
      <w:pPr>
        <w:numPr>
          <w:ilvl w:val="0"/>
          <w:numId w:val="2"/>
        </w:numPr>
        <w:spacing w:after="10"/>
        <w:ind w:hanging="180"/>
      </w:pPr>
      <w:hyperlink r:id="rId14">
        <w:r w:rsidR="00E700E8">
          <w:rPr>
            <w:u w:val="single" w:color="000000"/>
          </w:rPr>
          <w:t>https://governor.maryland.gov/wp</w:t>
        </w:r>
      </w:hyperlink>
      <w:hyperlink r:id="rId15">
        <w:r w:rsidR="00E700E8">
          <w:rPr>
            <w:u w:val="single" w:color="000000"/>
          </w:rPr>
          <w:t>-</w:t>
        </w:r>
      </w:hyperlink>
      <w:hyperlink r:id="rId16">
        <w:r w:rsidR="00E700E8">
          <w:rPr>
            <w:u w:val="single" w:color="000000"/>
          </w:rPr>
          <w:t>content/uploads/2020/04/MD_Strong.pdf</w:t>
        </w:r>
      </w:hyperlink>
      <w:hyperlink r:id="rId17">
        <w:r w:rsidR="00E700E8">
          <w:t xml:space="preserve"> </w:t>
        </w:r>
      </w:hyperlink>
      <w:r w:rsidR="00E700E8">
        <w:t xml:space="preserve"> </w:t>
      </w:r>
    </w:p>
    <w:p w14:paraId="53DA9D9E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04DD9E41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450CCDA6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173A2F53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2E364AB6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73DCED7F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7D9028FA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1E810B2A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579605F9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317018BE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34721175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17148694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097BA3C6" w14:textId="77777777" w:rsidR="0038444F" w:rsidRDefault="00E700E8">
      <w:pPr>
        <w:spacing w:after="0" w:line="238" w:lineRule="auto"/>
        <w:ind w:left="0" w:right="8534" w:firstLine="0"/>
        <w:jc w:val="both"/>
      </w:pPr>
      <w:r>
        <w:t xml:space="preserve">  </w:t>
      </w:r>
    </w:p>
    <w:p w14:paraId="6746ABC2" w14:textId="77777777" w:rsidR="0038444F" w:rsidRDefault="00E700E8">
      <w:pPr>
        <w:spacing w:after="0" w:line="259" w:lineRule="auto"/>
        <w:ind w:left="0" w:firstLine="0"/>
      </w:pPr>
      <w:r>
        <w:lastRenderedPageBreak/>
        <w:t xml:space="preserve"> </w:t>
      </w:r>
    </w:p>
    <w:p w14:paraId="1D382099" w14:textId="77777777" w:rsidR="0038444F" w:rsidRDefault="00E700E8">
      <w:pPr>
        <w:spacing w:after="612" w:line="259" w:lineRule="auto"/>
        <w:ind w:left="0" w:firstLine="0"/>
      </w:pPr>
      <w:r>
        <w:t xml:space="preserve"> </w:t>
      </w:r>
    </w:p>
    <w:p w14:paraId="0D474F5F" w14:textId="77777777" w:rsidR="0038444F" w:rsidRDefault="00E700E8">
      <w:pPr>
        <w:spacing w:after="0" w:line="216" w:lineRule="auto"/>
        <w:ind w:left="4769" w:hanging="4680"/>
        <w:jc w:val="both"/>
      </w:pPr>
      <w:r>
        <w:rPr>
          <w:noProof/>
        </w:rPr>
        <w:drawing>
          <wp:inline distT="0" distB="0" distL="0" distR="0" wp14:anchorId="6FD2D2B5" wp14:editId="05EA5F52">
            <wp:extent cx="5944235" cy="6511036"/>
            <wp:effectExtent l="0" t="0" r="0" b="0"/>
            <wp:docPr id="1435" name="Picture 1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Picture 143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651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96"/>
        </w:rPr>
        <w:t xml:space="preserve">  </w:t>
      </w:r>
    </w:p>
    <w:p w14:paraId="03BCB56C" w14:textId="77777777" w:rsidR="0038444F" w:rsidRDefault="00E700E8">
      <w:pPr>
        <w:spacing w:after="0" w:line="259" w:lineRule="auto"/>
        <w:ind w:left="1188" w:firstLine="0"/>
        <w:jc w:val="center"/>
      </w:pPr>
      <w:r>
        <w:rPr>
          <w:b/>
          <w:sz w:val="96"/>
        </w:rPr>
        <w:t xml:space="preserve"> </w:t>
      </w:r>
    </w:p>
    <w:p w14:paraId="7988B5C4" w14:textId="77777777" w:rsidR="0038444F" w:rsidRDefault="00E700E8">
      <w:pPr>
        <w:spacing w:after="0" w:line="259" w:lineRule="auto"/>
        <w:ind w:left="0" w:right="269" w:firstLine="0"/>
        <w:jc w:val="right"/>
      </w:pPr>
      <w:r>
        <w:rPr>
          <w:noProof/>
        </w:rPr>
        <w:lastRenderedPageBreak/>
        <w:drawing>
          <wp:inline distT="0" distB="0" distL="0" distR="0" wp14:anchorId="0B57801E" wp14:editId="36DAC2A2">
            <wp:extent cx="5943600" cy="6467475"/>
            <wp:effectExtent l="0" t="0" r="0" b="0"/>
            <wp:docPr id="1490" name="Picture 1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" name="Picture 149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CB20FA0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260E2480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079AFEE5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60315A1A" w14:textId="77777777" w:rsidR="0038444F" w:rsidRDefault="00E700E8">
      <w:pPr>
        <w:spacing w:after="0" w:line="259" w:lineRule="auto"/>
        <w:ind w:left="0" w:firstLine="0"/>
      </w:pPr>
      <w:r>
        <w:t xml:space="preserve"> </w:t>
      </w:r>
    </w:p>
    <w:p w14:paraId="605A7926" w14:textId="77777777" w:rsidR="0038444F" w:rsidRDefault="00E700E8">
      <w:pPr>
        <w:spacing w:after="0" w:line="238" w:lineRule="auto"/>
        <w:ind w:left="0" w:right="8534" w:firstLine="0"/>
        <w:jc w:val="both"/>
      </w:pPr>
      <w:r>
        <w:t xml:space="preserve">  </w:t>
      </w:r>
    </w:p>
    <w:p w14:paraId="09E6A19E" w14:textId="77777777" w:rsidR="0038444F" w:rsidRDefault="00E700E8">
      <w:pPr>
        <w:spacing w:after="0" w:line="259" w:lineRule="auto"/>
        <w:ind w:left="0" w:right="269" w:firstLine="0"/>
        <w:jc w:val="right"/>
      </w:pPr>
      <w:r>
        <w:rPr>
          <w:noProof/>
        </w:rPr>
        <w:lastRenderedPageBreak/>
        <w:drawing>
          <wp:inline distT="0" distB="0" distL="0" distR="0" wp14:anchorId="0169A27D" wp14:editId="4C8B3C86">
            <wp:extent cx="5943600" cy="7470140"/>
            <wp:effectExtent l="0" t="0" r="0" b="0"/>
            <wp:docPr id="1542" name="Picture 1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" name="Picture 154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7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38444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828" w:right="1109" w:bottom="1508" w:left="1440" w:header="338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DD180" w14:textId="77777777" w:rsidR="0084111A" w:rsidRDefault="0084111A">
      <w:pPr>
        <w:spacing w:after="0" w:line="240" w:lineRule="auto"/>
      </w:pPr>
      <w:r>
        <w:separator/>
      </w:r>
    </w:p>
  </w:endnote>
  <w:endnote w:type="continuationSeparator" w:id="0">
    <w:p w14:paraId="528B05A9" w14:textId="77777777" w:rsidR="0084111A" w:rsidRDefault="0084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011B" w14:textId="77777777" w:rsidR="0038444F" w:rsidRDefault="00E700E8">
    <w:pPr>
      <w:spacing w:after="0" w:line="259" w:lineRule="auto"/>
      <w:ind w:left="0" w:firstLine="0"/>
    </w:pPr>
    <w:r>
      <w:t xml:space="preserve">V3.0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BC90F" w14:textId="77777777" w:rsidR="0038444F" w:rsidRDefault="00E700E8">
    <w:pPr>
      <w:spacing w:after="0" w:line="259" w:lineRule="auto"/>
      <w:ind w:left="0" w:firstLine="0"/>
    </w:pPr>
    <w:r>
      <w:t xml:space="preserve">V3.0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FAA26" w14:textId="77777777" w:rsidR="0038444F" w:rsidRDefault="00E700E8">
    <w:pPr>
      <w:spacing w:after="0" w:line="259" w:lineRule="auto"/>
      <w:ind w:left="0" w:firstLine="0"/>
    </w:pPr>
    <w:r>
      <w:t xml:space="preserve">V3.0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704AC" w14:textId="77777777" w:rsidR="0084111A" w:rsidRDefault="0084111A">
      <w:pPr>
        <w:spacing w:after="0" w:line="240" w:lineRule="auto"/>
      </w:pPr>
      <w:r>
        <w:separator/>
      </w:r>
    </w:p>
  </w:footnote>
  <w:footnote w:type="continuationSeparator" w:id="0">
    <w:p w14:paraId="2D1734F5" w14:textId="77777777" w:rsidR="0084111A" w:rsidRDefault="0084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CD8C" w14:textId="77777777" w:rsidR="0038444F" w:rsidRDefault="00E700E8">
    <w:pPr>
      <w:tabs>
        <w:tab w:val="center" w:pos="1097"/>
        <w:tab w:val="center" w:pos="4774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E98153A" wp14:editId="0B733F18">
          <wp:simplePos x="0" y="0"/>
          <wp:positionH relativeFrom="page">
            <wp:posOffset>219075</wp:posOffset>
          </wp:positionH>
          <wp:positionV relativeFrom="page">
            <wp:posOffset>214630</wp:posOffset>
          </wp:positionV>
          <wp:extent cx="1276985" cy="1028700"/>
          <wp:effectExtent l="0" t="0" r="0" b="0"/>
          <wp:wrapSquare wrapText="bothSides"/>
          <wp:docPr id="48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98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36"/>
      </w:rPr>
      <w:t xml:space="preserve"> </w:t>
    </w:r>
    <w:r>
      <w:rPr>
        <w:sz w:val="36"/>
      </w:rPr>
      <w:tab/>
      <w:t xml:space="preserve">Damascus Sports Association </w:t>
    </w:r>
  </w:p>
  <w:p w14:paraId="1ADF3F17" w14:textId="77777777" w:rsidR="0038444F" w:rsidRDefault="00E700E8">
    <w:pPr>
      <w:spacing w:after="0" w:line="259" w:lineRule="auto"/>
      <w:ind w:left="1097" w:firstLine="0"/>
    </w:pPr>
    <w:r>
      <w:rPr>
        <w:sz w:val="36"/>
      </w:rPr>
      <w:t xml:space="preserve"> COVID-19 Return to Play – Exposure Guidance </w:t>
    </w:r>
  </w:p>
  <w:p w14:paraId="018416EC" w14:textId="77777777" w:rsidR="0038444F" w:rsidRDefault="00E700E8">
    <w:pPr>
      <w:tabs>
        <w:tab w:val="center" w:pos="1097"/>
        <w:tab w:val="center" w:pos="477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Effective July 27, 2020 @ 5PM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5808F" w14:textId="77777777" w:rsidR="0038444F" w:rsidRDefault="00E700E8">
    <w:pPr>
      <w:tabs>
        <w:tab w:val="center" w:pos="1097"/>
        <w:tab w:val="center" w:pos="4774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483A35" wp14:editId="70EDEFD3">
          <wp:simplePos x="0" y="0"/>
          <wp:positionH relativeFrom="page">
            <wp:posOffset>219075</wp:posOffset>
          </wp:positionH>
          <wp:positionV relativeFrom="page">
            <wp:posOffset>214630</wp:posOffset>
          </wp:positionV>
          <wp:extent cx="1276985" cy="10287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98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36"/>
      </w:rPr>
      <w:t xml:space="preserve"> </w:t>
    </w:r>
    <w:r>
      <w:rPr>
        <w:sz w:val="36"/>
      </w:rPr>
      <w:tab/>
      <w:t xml:space="preserve">Damascus Sports Association </w:t>
    </w:r>
  </w:p>
  <w:p w14:paraId="3441C158" w14:textId="77777777" w:rsidR="0038444F" w:rsidRDefault="00E700E8">
    <w:pPr>
      <w:spacing w:after="0" w:line="259" w:lineRule="auto"/>
      <w:ind w:left="1097" w:firstLine="0"/>
    </w:pPr>
    <w:r>
      <w:rPr>
        <w:sz w:val="36"/>
      </w:rPr>
      <w:t xml:space="preserve"> COVID-19 Return to Play – Exposure Guidance </w:t>
    </w:r>
  </w:p>
  <w:p w14:paraId="59A32D2D" w14:textId="3EFA996C" w:rsidR="0038444F" w:rsidRDefault="00E700E8">
    <w:pPr>
      <w:tabs>
        <w:tab w:val="center" w:pos="1097"/>
        <w:tab w:val="center" w:pos="477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Effective </w:t>
    </w:r>
    <w:r w:rsidR="003A56C2">
      <w:t>April 2, 2021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CF96" w14:textId="77777777" w:rsidR="0038444F" w:rsidRDefault="00E700E8">
    <w:pPr>
      <w:tabs>
        <w:tab w:val="center" w:pos="1097"/>
        <w:tab w:val="center" w:pos="4774"/>
      </w:tabs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16530E" wp14:editId="3A7D4562">
          <wp:simplePos x="0" y="0"/>
          <wp:positionH relativeFrom="page">
            <wp:posOffset>219075</wp:posOffset>
          </wp:positionH>
          <wp:positionV relativeFrom="page">
            <wp:posOffset>214630</wp:posOffset>
          </wp:positionV>
          <wp:extent cx="1276985" cy="10287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98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36"/>
      </w:rPr>
      <w:t xml:space="preserve"> </w:t>
    </w:r>
    <w:r>
      <w:rPr>
        <w:sz w:val="36"/>
      </w:rPr>
      <w:tab/>
      <w:t xml:space="preserve">Damascus Sports Association </w:t>
    </w:r>
  </w:p>
  <w:p w14:paraId="0800A7DB" w14:textId="77777777" w:rsidR="0038444F" w:rsidRDefault="00E700E8">
    <w:pPr>
      <w:spacing w:after="0" w:line="259" w:lineRule="auto"/>
      <w:ind w:left="1097" w:firstLine="0"/>
    </w:pPr>
    <w:r>
      <w:rPr>
        <w:sz w:val="36"/>
      </w:rPr>
      <w:t xml:space="preserve"> COVID-19 Return to Play – Exposure Guidance </w:t>
    </w:r>
  </w:p>
  <w:p w14:paraId="1C342180" w14:textId="77777777" w:rsidR="0038444F" w:rsidRDefault="00E700E8">
    <w:pPr>
      <w:tabs>
        <w:tab w:val="center" w:pos="1097"/>
        <w:tab w:val="center" w:pos="4772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  <w:t xml:space="preserve">Effective July 27, 2020 @ 5PM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521C"/>
    <w:multiLevelType w:val="hybridMultilevel"/>
    <w:tmpl w:val="95F8D5D0"/>
    <w:lvl w:ilvl="0" w:tplc="2FA088C2">
      <w:start w:val="1"/>
      <w:numFmt w:val="bullet"/>
      <w:lvlText w:val="o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FCE4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0B0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8DC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A23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A5F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AB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4EA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AD3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1427B"/>
    <w:multiLevelType w:val="hybridMultilevel"/>
    <w:tmpl w:val="5A3AC81A"/>
    <w:lvl w:ilvl="0" w:tplc="20A839F0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2EB1E">
      <w:start w:val="1"/>
      <w:numFmt w:val="lowerLetter"/>
      <w:lvlText w:val="%2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EEA684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4D432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EE71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6D95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0749C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AFEC0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E456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44F"/>
    <w:rsid w:val="0038444F"/>
    <w:rsid w:val="003A56C2"/>
    <w:rsid w:val="005847F6"/>
    <w:rsid w:val="0084111A"/>
    <w:rsid w:val="008E3EDC"/>
    <w:rsid w:val="00D07DC4"/>
    <w:rsid w:val="00E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A969"/>
  <w15:docId w15:val="{7CF9A284-5C60-4DED-A14E-9ABEF9F4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13" Type="http://schemas.openxmlformats.org/officeDocument/2006/relationships/hyperlink" Target="https://governor.maryland.gov/recovery/" TargetMode="External"/><Relationship Id="rId18" Type="http://schemas.openxmlformats.org/officeDocument/2006/relationships/image" Target="media/image1.jp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cdc.gov/coronavirus/2019-ncov/index.html" TargetMode="External"/><Relationship Id="rId12" Type="http://schemas.openxmlformats.org/officeDocument/2006/relationships/hyperlink" Target="https://governor.maryland.gov/recovery/" TargetMode="External"/><Relationship Id="rId17" Type="http://schemas.openxmlformats.org/officeDocument/2006/relationships/hyperlink" Target="https://governor.maryland.gov/wp-content/uploads/2020/04/MD_Strong.pd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governor.maryland.gov/wp-content/uploads/2020/04/MD_Strong.pdf" TargetMode="External"/><Relationship Id="rId20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index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governor.maryland.gov/wp-content/uploads/2020/04/MD_Strong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cdc.gov/coronavirus/2019-ncov/index.html" TargetMode="External"/><Relationship Id="rId19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index.html" TargetMode="External"/><Relationship Id="rId14" Type="http://schemas.openxmlformats.org/officeDocument/2006/relationships/hyperlink" Target="https://governor.maryland.gov/wp-content/uploads/2020/04/MD_Strong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Stadtler</dc:creator>
  <cp:keywords/>
  <cp:lastModifiedBy>Romeo, Melissa</cp:lastModifiedBy>
  <cp:revision>2</cp:revision>
  <dcterms:created xsi:type="dcterms:W3CDTF">2021-04-16T15:11:00Z</dcterms:created>
  <dcterms:modified xsi:type="dcterms:W3CDTF">2021-04-16T15:11:00Z</dcterms:modified>
</cp:coreProperties>
</file>